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750" w:afterAutospacing="0" w:line="24" w:lineRule="atLeast"/>
        <w:jc w:val="left"/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spacing w:after="750" w:afterAutospacing="0" w:line="24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城域"毫秒用算"专项行动计划表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>
      <w:pPr>
        <w:pStyle w:val="5"/>
        <w:keepNext w:val="0"/>
        <w:keepLines w:val="0"/>
        <w:widowControl/>
        <w:suppressLineNumbers w:val="0"/>
        <w:spacing w:after="450" w:afterAutospacing="0" w:line="24" w:lineRule="atLeast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实施单位：</w:t>
      </w:r>
      <w:r>
        <w:rPr>
          <w:rFonts w:hint="eastAsia" w:asciiTheme="minorEastAsia" w:hAnsiTheme="minorEastAsia" w:eastAsiaTheme="minorEastAsia" w:cstheme="minorEastAsia"/>
          <w:i/>
          <w:i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地级市工业和信息化主管部门、基础电信企业</w:t>
      </w:r>
    </w:p>
    <w:p>
      <w:pPr>
        <w:pStyle w:val="5"/>
        <w:keepNext w:val="0"/>
        <w:keepLines w:val="0"/>
        <w:widowControl/>
        <w:suppressLineNumbers w:val="0"/>
        <w:spacing w:after="450" w:afterAutospacing="0" w:line="24" w:lineRule="atLeast"/>
        <w:rPr>
          <w:rStyle w:val="8"/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pacing w:after="450" w:afterAutospacing="0" w:line="24" w:lineRule="atLeast"/>
        <w:rPr>
          <w:rStyle w:val="8"/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pacing w:after="450" w:afterAutospacing="0" w:line="24" w:lineRule="atLeast"/>
        <w:rPr>
          <w:rStyle w:val="8"/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pacing w:after="450" w:afterAutospacing="0" w:line="24" w:lineRule="atLeast"/>
        <w:rPr>
          <w:rStyle w:val="8"/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spacing w:after="450" w:afterAutospacing="0" w:line="24" w:lineRule="atLeast"/>
        <w:ind w:firstLine="5902" w:firstLineChars="21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（实施单位盖章）</w:t>
      </w:r>
    </w:p>
    <w:p>
      <w:pPr>
        <w:pStyle w:val="5"/>
        <w:keepNext w:val="0"/>
        <w:keepLines w:val="0"/>
        <w:widowControl/>
        <w:suppressLineNumbers w:val="0"/>
        <w:spacing w:after="450" w:afterAutospacing="0" w:line="24" w:lineRule="atLeast"/>
        <w:ind w:firstLine="5621" w:firstLineChars="2000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cs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pStyle w:val="5"/>
        <w:keepNext w:val="0"/>
        <w:keepLines w:val="0"/>
        <w:widowControl/>
        <w:suppressLineNumbers w:val="0"/>
        <w:spacing w:after="450" w:afterAutospacing="0" w:line="24" w:lineRule="atLeast"/>
        <w:rPr>
          <w:rStyle w:val="8"/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widowControl/>
        <w:suppressLineNumbers w:val="0"/>
        <w:spacing w:after="750" w:afterAutospacing="0" w:line="24" w:lineRule="atLeast"/>
        <w:jc w:val="center"/>
        <w:rPr>
          <w:rFonts w:hint="eastAsia" w:asciiTheme="minorEastAsia" w:hAnsiTheme="minorEastAsia" w:eastAsiaTheme="minorEastAsia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城域"毫秒用算"专项行动实施方案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after="450" w:afterAutospacing="0" w:line="24" w:lineRule="atLeast"/>
        <w:jc w:val="center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（同一地级市不同实施单位分开填表）</w:t>
      </w:r>
    </w:p>
    <w:tbl>
      <w:tblPr>
        <w:tblStyle w:val="6"/>
        <w:tblW w:w="4998" w:type="pct"/>
        <w:tblInd w:w="0" w:type="dxa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single" w:color="DDDDDD" w:sz="6" w:space="0"/>
          <w:insideV w:val="single" w:color="DDDDDD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1"/>
        <w:gridCol w:w="2471"/>
        <w:gridCol w:w="1518"/>
        <w:gridCol w:w="3293"/>
      </w:tblGrid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行动名称</w:t>
            </w:r>
          </w:p>
        </w:tc>
        <w:tc>
          <w:tcPr>
            <w:tcW w:w="420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420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各地级市工业和信息化主管部门、基础电信企业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参与单位</w:t>
            </w:r>
          </w:p>
        </w:tc>
        <w:tc>
          <w:tcPr>
            <w:tcW w:w="420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可选，包括算力服务提供商、用算企业单位等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2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0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42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6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1900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single" w:color="DDDDDD" w:sz="6" w:space="0"/>
            <w:insideV w:val="single" w:color="DDDDDD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9" w:hRule="atLeast"/>
        </w:trPr>
        <w:tc>
          <w:tcPr>
            <w:tcW w:w="797" w:type="pct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" w:lineRule="atLeast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实施方案</w:t>
            </w:r>
          </w:p>
        </w:tc>
        <w:tc>
          <w:tcPr>
            <w:tcW w:w="420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建议从以下方面展开说明：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1.实施内容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对照通知行动内容及行动工作指引，明确推进城域 "毫秒用算"专项行动实施的具体内容。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2.工作安排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详细阐述行动工作的实施路径、工作机制、保障措 施、分阶段工作任务及目标等。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3.预期成效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阐述行动要解决的关键问题、拟达成的关键目标， 行动完成后的预期成效。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城域"毫秒用算"专项行动实施方案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一、实施内容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 xml:space="preserve">（一）现有实施基础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算力资源情况：如目前区域内算力中心建设数量、算力规模，未来2年规划建设情况简述；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网络基础情况：本区域内城域网络总体建设情况；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算力应用需求情况：本区域内算力应用重点行业情况。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行动实施内容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围绕算力中心毫秒互连、算力资源毫秒接入、算力应用毫秒可达三项重点工作，明确推进城域“毫秒用算”专项行动实施思路和主要内容。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二、工作安排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详细阐述行动工作的实施路径、工作机制、保障措施、分阶段工作任务及目标等。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分阶段工作目标针对行动工作指标要求（附件1），给出26年行动中期和27年行动结束的分阶段的量化目标。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三、预期成效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阐述行动要解决的关键问题、拟达成的关键目标，行动完成后的预期成效。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预期成效包括但不限于算力资源集约高效使用、网络质量及算力应用服务体验提升，算力应用赋能经济社会发展等预期成效。</w:t>
      </w:r>
    </w:p>
    <w:p>
      <w:pPr>
        <w:widowControl w:val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widowControl w:val="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9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942164"/>
    <w:multiLevelType w:val="singleLevel"/>
    <w:tmpl w:val="3894216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C23AE"/>
    <w:rsid w:val="02FB6CDA"/>
    <w:rsid w:val="055E085F"/>
    <w:rsid w:val="34336FAF"/>
    <w:rsid w:val="3A7C23AE"/>
    <w:rsid w:val="61ED35B1"/>
    <w:rsid w:val="72C217E9"/>
    <w:rsid w:val="752F6E45"/>
    <w:rsid w:val="77DD2CB6"/>
    <w:rsid w:val="7CC63144"/>
    <w:rsid w:val="7FECEA55"/>
    <w:rsid w:val="FF7B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A5276"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A5276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A5276"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宁夏分公司</Company>
  <Pages>1</Pages>
  <Words>0</Words>
  <Characters>0</Characters>
  <Lines>0</Lines>
  <Paragraphs>0</Paragraphs>
  <TotalTime>242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2025-11-05T11:18:00Z</dcterms:created>
  <dc:creator>Administrator</dc:creator>
  <cp:lastModifiedBy>陈丹飞</cp:lastModifiedBy>
  <dcterms:modified xsi:type="dcterms:W3CDTF">2025-11-05T16:54:00Z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7BD77BDB13C24B0B864C13D826950BF7_13</vt:lpwstr>
  </property>
</Properties>
</file>